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F" w:rsidRDefault="00392EBF" w:rsidP="00392EBF">
      <w:pPr>
        <w:rPr>
          <w:sz w:val="28"/>
          <w:szCs w:val="28"/>
          <w:lang w:bidi="ar-JO"/>
        </w:rPr>
      </w:pPr>
    </w:p>
    <w:p w:rsidR="00392EBF" w:rsidRPr="003C669D" w:rsidRDefault="00392EBF" w:rsidP="00392EBF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392EBF" w:rsidRDefault="00392EBF" w:rsidP="00392EBF">
      <w:pPr>
        <w:rPr>
          <w:sz w:val="28"/>
          <w:szCs w:val="28"/>
          <w:lang w:bidi="ar-JO"/>
        </w:rPr>
      </w:pPr>
    </w:p>
    <w:p w:rsidR="00392EBF" w:rsidRPr="00824B10" w:rsidRDefault="00392EBF" w:rsidP="00392EBF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>
        <w:rPr>
          <w:b/>
          <w:bCs/>
        </w:rPr>
        <w:t xml:space="preserve"> of Agriculture                                                     </w:t>
      </w:r>
      <w:r w:rsidRPr="00824B10">
        <w:rPr>
          <w:b/>
          <w:bCs/>
        </w:rPr>
        <w:t>Department:</w:t>
      </w:r>
      <w:r>
        <w:rPr>
          <w:b/>
          <w:bCs/>
        </w:rPr>
        <w:t xml:space="preserve"> Plant Protection</w:t>
      </w:r>
    </w:p>
    <w:p w:rsidR="00392EBF" w:rsidRPr="00824B10" w:rsidRDefault="00392EBF" w:rsidP="00B81965">
      <w:pPr>
        <w:jc w:val="both"/>
        <w:rPr>
          <w:b/>
          <w:bCs/>
        </w:rPr>
      </w:pPr>
      <w:r>
        <w:rPr>
          <w:b/>
          <w:bCs/>
        </w:rPr>
        <w:t xml:space="preserve">Program: </w:t>
      </w:r>
      <w:proofErr w:type="spellStart"/>
      <w:r w:rsidR="00B81965" w:rsidRPr="00B81965">
        <w:rPr>
          <w:b/>
          <w:bCs/>
        </w:rPr>
        <w:t>Ph.D</w:t>
      </w:r>
      <w:proofErr w:type="spellEnd"/>
      <w:r w:rsidR="00B81965">
        <w:rPr>
          <w:b/>
          <w:bCs/>
        </w:rPr>
        <w:t xml:space="preserve"> in Plant Protection</w:t>
      </w:r>
      <w:r>
        <w:rPr>
          <w:b/>
          <w:bCs/>
        </w:rPr>
        <w:t xml:space="preserve">            </w:t>
      </w:r>
      <w:r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2015/2016</w:t>
      </w:r>
      <w:r w:rsidR="00B81965">
        <w:rPr>
          <w:b/>
          <w:bCs/>
        </w:rPr>
        <w:t xml:space="preserve"> -</w:t>
      </w:r>
      <w:r>
        <w:rPr>
          <w:b/>
          <w:bCs/>
        </w:rPr>
        <w:t xml:space="preserve"> First </w:t>
      </w:r>
      <w:r w:rsidRPr="00824B10">
        <w:rPr>
          <w:b/>
          <w:bCs/>
        </w:rPr>
        <w:t>Semester</w:t>
      </w:r>
    </w:p>
    <w:p w:rsidR="00392EBF" w:rsidRDefault="00392EBF" w:rsidP="00392EBF">
      <w:pPr>
        <w:jc w:val="center"/>
        <w:rPr>
          <w:b/>
          <w:bCs/>
        </w:rPr>
      </w:pPr>
    </w:p>
    <w:p w:rsidR="00392EBF" w:rsidRDefault="00392EBF" w:rsidP="00250EB1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                          Seed Pathology</w:t>
      </w:r>
      <w:r w:rsidR="00250EB1">
        <w:rPr>
          <w:sz w:val="28"/>
          <w:szCs w:val="28"/>
          <w:lang w:bidi="ar-JO"/>
        </w:rPr>
        <w:t xml:space="preserve"> (0606931)</w:t>
      </w:r>
      <w:r>
        <w:rPr>
          <w:sz w:val="28"/>
          <w:szCs w:val="28"/>
          <w:lang w:bidi="ar-JO"/>
        </w:rPr>
        <w:t xml:space="preserve">                                                  </w:t>
      </w:r>
    </w:p>
    <w:p w:rsidR="00392EBF" w:rsidRDefault="00392EBF" w:rsidP="00392EB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562"/>
        <w:gridCol w:w="1198"/>
        <w:gridCol w:w="2168"/>
        <w:gridCol w:w="1134"/>
        <w:gridCol w:w="1276"/>
      </w:tblGrid>
      <w:tr w:rsidR="00392EBF" w:rsidTr="00414128">
        <w:tc>
          <w:tcPr>
            <w:tcW w:w="1799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134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2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</w:tr>
      <w:tr w:rsidR="00392EBF" w:rsidTr="00414128">
        <w:tc>
          <w:tcPr>
            <w:tcW w:w="1799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Hamed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Khlaif</w:t>
            </w:r>
            <w:proofErr w:type="spellEnd"/>
          </w:p>
        </w:tc>
        <w:tc>
          <w:tcPr>
            <w:tcW w:w="119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16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  <w:lang w:bidi="ar-JO"/>
              </w:rPr>
              <w:t>227</w:t>
            </w:r>
          </w:p>
        </w:tc>
        <w:tc>
          <w:tcPr>
            <w:tcW w:w="1134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2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22524</w:t>
            </w:r>
          </w:p>
        </w:tc>
      </w:tr>
      <w:tr w:rsidR="00392EBF" w:rsidTr="00414128">
        <w:tc>
          <w:tcPr>
            <w:tcW w:w="1799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19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8" w:type="dxa"/>
          </w:tcPr>
          <w:p w:rsidR="00392EBF" w:rsidRPr="001C470A" w:rsidRDefault="00392EBF" w:rsidP="00250EB1">
            <w:pPr>
              <w:rPr>
                <w:sz w:val="22"/>
                <w:szCs w:val="22"/>
                <w:lang w:bidi="ar-JO"/>
              </w:rPr>
            </w:pPr>
            <w:r w:rsidRPr="001C470A">
              <w:rPr>
                <w:sz w:val="22"/>
                <w:szCs w:val="22"/>
                <w:lang w:bidi="ar-JO"/>
              </w:rPr>
              <w:t xml:space="preserve"> H-khlaif@ju.edu.jo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276" w:type="dxa"/>
          </w:tcPr>
          <w:p w:rsidR="00392EBF" w:rsidRPr="006E6C03" w:rsidRDefault="00392EBF" w:rsidP="00392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</w:tr>
    </w:tbl>
    <w:p w:rsidR="00392EBF" w:rsidRDefault="00392EBF" w:rsidP="00392EBF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392EBF" w:rsidTr="00414128">
        <w:tc>
          <w:tcPr>
            <w:tcW w:w="8856" w:type="dxa"/>
            <w:gridSpan w:val="6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392EBF" w:rsidTr="00414128"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392EBF" w:rsidTr="00414128"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Default="00392EBF" w:rsidP="00392EBF">
            <w:r w:rsidRPr="007303D5">
              <w:rPr>
                <w:sz w:val="28"/>
                <w:szCs w:val="28"/>
                <w:lang w:bidi="ar-JO"/>
              </w:rPr>
              <w:t>(</w:t>
            </w:r>
            <w:r>
              <w:rPr>
                <w:sz w:val="28"/>
                <w:szCs w:val="28"/>
                <w:lang w:bidi="ar-JO"/>
              </w:rPr>
              <w:t>10-11</w:t>
            </w:r>
            <w:r w:rsidRPr="007303D5">
              <w:rPr>
                <w:sz w:val="28"/>
                <w:szCs w:val="28"/>
                <w:lang w:bidi="ar-JO"/>
              </w:rPr>
              <w:t>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</w:tr>
      <w:tr w:rsidR="00392EBF" w:rsidTr="00414128"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</w:tr>
    </w:tbl>
    <w:p w:rsidR="00392EBF" w:rsidRDefault="00392EBF" w:rsidP="00392EBF">
      <w:pPr>
        <w:jc w:val="both"/>
        <w:rPr>
          <w:b/>
          <w:bCs/>
          <w:sz w:val="28"/>
          <w:szCs w:val="28"/>
          <w:u w:val="single"/>
        </w:rPr>
      </w:pPr>
    </w:p>
    <w:p w:rsidR="00392EBF" w:rsidRPr="0033685C" w:rsidRDefault="00392EBF" w:rsidP="00392EBF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392EBF" w:rsidRDefault="00392EBF" w:rsidP="00392EBF"/>
    <w:p w:rsidR="00392EBF" w:rsidRDefault="00392EBF" w:rsidP="00392EBF">
      <w:r>
        <w:rPr>
          <w:lang w:bidi="ar-JO"/>
        </w:rPr>
        <w:t xml:space="preserve">The purpose of this course is to give </w:t>
      </w:r>
      <w:r w:rsidRPr="00431909">
        <w:rPr>
          <w:rFonts w:asciiTheme="majorBidi" w:hAnsiTheme="majorBidi" w:cstheme="majorBidi"/>
          <w:lang w:bidi="ar-JO"/>
        </w:rPr>
        <w:t>the</w:t>
      </w:r>
      <w:r>
        <w:rPr>
          <w:rFonts w:asciiTheme="majorBidi" w:hAnsiTheme="majorBidi" w:cstheme="majorBidi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lang w:bidi="ar-JO"/>
        </w:rPr>
        <w:t>Ph.D</w:t>
      </w:r>
      <w:proofErr w:type="spellEnd"/>
      <w:r w:rsidRPr="00431909">
        <w:rPr>
          <w:rFonts w:asciiTheme="majorBidi" w:hAnsiTheme="majorBidi" w:cstheme="majorBidi"/>
          <w:lang w:bidi="ar-JO"/>
        </w:rPr>
        <w:t xml:space="preserve"> students an idea about seed</w:t>
      </w:r>
      <w:r w:rsidRPr="00431909">
        <w:rPr>
          <w:rFonts w:asciiTheme="majorBidi" w:hAnsiTheme="majorBidi" w:cstheme="majorBidi"/>
          <w:rtl/>
          <w:lang w:bidi="ar-JO"/>
        </w:rPr>
        <w:t xml:space="preserve">- </w:t>
      </w:r>
      <w:r w:rsidRPr="00431909">
        <w:rPr>
          <w:rFonts w:asciiTheme="majorBidi" w:hAnsiTheme="majorBidi" w:cstheme="majorBidi"/>
          <w:lang w:bidi="ar-JO"/>
        </w:rPr>
        <w:t xml:space="preserve"> borne diseases, their causal agents, including fungi, bacteria, viruses, and</w:t>
      </w:r>
      <w:r w:rsidRPr="00431909">
        <w:rPr>
          <w:rFonts w:asciiTheme="majorBidi" w:hAnsiTheme="majorBidi" w:cstheme="majorBidi"/>
          <w:rtl/>
          <w:lang w:bidi="ar-JO"/>
        </w:rPr>
        <w:t xml:space="preserve"> </w:t>
      </w:r>
      <w:r w:rsidRPr="00431909">
        <w:rPr>
          <w:rFonts w:asciiTheme="majorBidi" w:hAnsiTheme="majorBidi" w:cstheme="majorBidi"/>
          <w:lang w:bidi="ar-JO"/>
        </w:rPr>
        <w:t>nematodes, economic importance,</w:t>
      </w:r>
      <w:r>
        <w:rPr>
          <w:rFonts w:asciiTheme="majorBidi" w:hAnsiTheme="majorBidi" w:cstheme="majorBidi"/>
          <w:lang w:bidi="ar-JO"/>
        </w:rPr>
        <w:t xml:space="preserve"> epidemiology, control and different detection techniques.</w:t>
      </w:r>
      <w:r w:rsidRPr="00431909">
        <w:rPr>
          <w:rFonts w:asciiTheme="majorBidi" w:hAnsiTheme="majorBidi" w:cstheme="majorBidi"/>
          <w:lang w:bidi="ar-JO"/>
        </w:rPr>
        <w:t xml:space="preserve"> </w:t>
      </w:r>
    </w:p>
    <w:p w:rsidR="00392EBF" w:rsidRDefault="00392EBF" w:rsidP="00392EBF"/>
    <w:p w:rsidR="00392EBF" w:rsidRPr="0033685C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392EBF" w:rsidRDefault="00392EBF" w:rsidP="00392EBF">
      <w:pPr>
        <w:tabs>
          <w:tab w:val="right" w:pos="6840"/>
        </w:tabs>
        <w:ind w:left="1080"/>
        <w:jc w:val="both"/>
      </w:pPr>
    </w:p>
    <w:p w:rsidR="00392EBF" w:rsidRDefault="00392EBF" w:rsidP="00392EBF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To give the students an idea about seed borne diseases</w:t>
      </w:r>
    </w:p>
    <w:p w:rsidR="00392EBF" w:rsidRDefault="00392EBF" w:rsidP="00C71C4D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The economic importan</w:t>
      </w:r>
      <w:r w:rsidR="00C71C4D">
        <w:t>ce</w:t>
      </w:r>
      <w:r>
        <w:t xml:space="preserve"> of these diseases</w:t>
      </w:r>
    </w:p>
    <w:p w:rsidR="00392EBF" w:rsidRDefault="00392EBF" w:rsidP="00C71C4D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Mode of transmi</w:t>
      </w:r>
      <w:r w:rsidR="00C71C4D">
        <w:t>ss</w:t>
      </w:r>
      <w:r>
        <w:t xml:space="preserve">ion </w:t>
      </w:r>
      <w:r w:rsidR="001810CD">
        <w:t>and location of seed borne diseases causal agents in seeds</w:t>
      </w:r>
    </w:p>
    <w:p w:rsidR="001810CD" w:rsidRDefault="001810CD" w:rsidP="00C71C4D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Seed anatomy in relation to pathogen infection and transmi</w:t>
      </w:r>
      <w:r w:rsidR="00C71C4D">
        <w:t>ss</w:t>
      </w:r>
      <w:r>
        <w:t>ion</w:t>
      </w:r>
    </w:p>
    <w:p w:rsidR="001810CD" w:rsidRDefault="001810CD" w:rsidP="00392EBF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Seed health testing methods for detection of diseases causal agents</w:t>
      </w: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F514FE" w:rsidRDefault="00F514FE" w:rsidP="00392EBF">
      <w:pPr>
        <w:tabs>
          <w:tab w:val="left" w:pos="1888"/>
        </w:tabs>
        <w:jc w:val="both"/>
      </w:pPr>
    </w:p>
    <w:p w:rsidR="00F514FE" w:rsidRDefault="00F514FE" w:rsidP="00392EBF">
      <w:pPr>
        <w:tabs>
          <w:tab w:val="left" w:pos="1888"/>
        </w:tabs>
        <w:jc w:val="both"/>
      </w:pPr>
      <w:bookmarkStart w:id="0" w:name="_GoBack"/>
      <w:bookmarkEnd w:id="0"/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right" w:pos="6840"/>
        </w:tabs>
        <w:jc w:val="both"/>
      </w:pPr>
    </w:p>
    <w:p w:rsidR="00392EBF" w:rsidRDefault="00392EBF" w:rsidP="00392EBF">
      <w:pPr>
        <w:tabs>
          <w:tab w:val="right" w:pos="6840"/>
        </w:tabs>
        <w:jc w:val="both"/>
      </w:pPr>
    </w:p>
    <w:p w:rsidR="00392EBF" w:rsidRDefault="00392EBF" w:rsidP="00392EBF">
      <w:pPr>
        <w:tabs>
          <w:tab w:val="right" w:pos="6840"/>
        </w:tabs>
        <w:jc w:val="both"/>
      </w:pPr>
    </w:p>
    <w:p w:rsidR="00392EBF" w:rsidRPr="002D6FEF" w:rsidRDefault="00392EBF" w:rsidP="00392EB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392EBF" w:rsidRPr="003C669D" w:rsidRDefault="00392EBF" w:rsidP="00392EBF">
      <w:pPr>
        <w:jc w:val="both"/>
      </w:pPr>
      <w:r w:rsidRPr="003C669D">
        <w:t>Successful completion of the course should lead to the following outcomes:</w:t>
      </w:r>
    </w:p>
    <w:p w:rsidR="00392EBF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92EBF" w:rsidRPr="009F4E1B" w:rsidRDefault="00392EBF" w:rsidP="001810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A1- Have an idea about </w:t>
      </w:r>
      <w:r w:rsidR="001810CD">
        <w:rPr>
          <w:b/>
          <w:bCs/>
          <w:sz w:val="22"/>
          <w:szCs w:val="22"/>
        </w:rPr>
        <w:t>seed borne diseases causal agents and</w:t>
      </w:r>
      <w:r>
        <w:rPr>
          <w:b/>
          <w:bCs/>
          <w:sz w:val="22"/>
          <w:szCs w:val="22"/>
        </w:rPr>
        <w:t xml:space="preserve"> their symptoms</w:t>
      </w:r>
    </w:p>
    <w:p w:rsidR="00392EBF" w:rsidRDefault="00392EBF" w:rsidP="00C71C4D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A2- </w:t>
      </w:r>
      <w:r>
        <w:rPr>
          <w:b/>
          <w:bCs/>
          <w:sz w:val="22"/>
          <w:szCs w:val="22"/>
        </w:rPr>
        <w:t>economic importan</w:t>
      </w:r>
      <w:r w:rsidR="00C71C4D">
        <w:rPr>
          <w:b/>
          <w:bCs/>
          <w:sz w:val="22"/>
          <w:szCs w:val="22"/>
        </w:rPr>
        <w:t>ce</w:t>
      </w:r>
      <w:r w:rsidR="001810CD">
        <w:rPr>
          <w:b/>
          <w:bCs/>
          <w:sz w:val="22"/>
          <w:szCs w:val="22"/>
        </w:rPr>
        <w:t xml:space="preserve"> of these diseases</w:t>
      </w:r>
    </w:p>
    <w:p w:rsidR="00392EBF" w:rsidRDefault="00392EBF" w:rsidP="001810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A3- developing, epidemiology and control </w:t>
      </w:r>
      <w:r w:rsidR="00C71C4D">
        <w:rPr>
          <w:b/>
          <w:bCs/>
          <w:sz w:val="22"/>
          <w:szCs w:val="22"/>
        </w:rPr>
        <w:t xml:space="preserve">methods </w:t>
      </w:r>
      <w:r>
        <w:rPr>
          <w:b/>
          <w:bCs/>
          <w:sz w:val="22"/>
          <w:szCs w:val="22"/>
        </w:rPr>
        <w:t xml:space="preserve">of </w:t>
      </w:r>
      <w:r w:rsidR="001810CD">
        <w:rPr>
          <w:b/>
          <w:bCs/>
          <w:sz w:val="22"/>
          <w:szCs w:val="22"/>
        </w:rPr>
        <w:t>these diseases</w:t>
      </w:r>
    </w:p>
    <w:p w:rsidR="00392EBF" w:rsidRPr="009F4E1B" w:rsidRDefault="00392EBF" w:rsidP="00392E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.….</w:t>
      </w:r>
      <w:r w:rsidRPr="009F4E1B">
        <w:rPr>
          <w:b/>
          <w:bCs/>
          <w:sz w:val="22"/>
          <w:szCs w:val="22"/>
        </w:rPr>
        <w:t xml:space="preserve"> </w:t>
      </w:r>
    </w:p>
    <w:p w:rsidR="00392EBF" w:rsidRPr="009F4E1B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  <w:r w:rsidR="001810CD">
        <w:rPr>
          <w:sz w:val="22"/>
          <w:szCs w:val="22"/>
        </w:rPr>
        <w:t xml:space="preserve"> have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>
        <w:rPr>
          <w:sz w:val="22"/>
          <w:szCs w:val="22"/>
        </w:rPr>
        <w:t xml:space="preserve">an idea about </w:t>
      </w:r>
      <w:r w:rsidR="001810CD">
        <w:rPr>
          <w:sz w:val="22"/>
          <w:szCs w:val="22"/>
        </w:rPr>
        <w:t xml:space="preserve">different </w:t>
      </w:r>
      <w:r w:rsidR="00DA41D8">
        <w:rPr>
          <w:sz w:val="22"/>
          <w:szCs w:val="22"/>
        </w:rPr>
        <w:t xml:space="preserve">diseases </w:t>
      </w:r>
      <w:r w:rsidR="001810CD">
        <w:rPr>
          <w:sz w:val="22"/>
          <w:szCs w:val="22"/>
        </w:rPr>
        <w:t>causal agents</w:t>
      </w:r>
      <w:r w:rsidR="00C71C4D">
        <w:rPr>
          <w:sz w:val="22"/>
          <w:szCs w:val="22"/>
        </w:rPr>
        <w:t xml:space="preserve"> ( biotic</w:t>
      </w:r>
      <w:r w:rsidR="00DA41D8">
        <w:rPr>
          <w:sz w:val="22"/>
          <w:szCs w:val="22"/>
        </w:rPr>
        <w:t xml:space="preserve"> and</w:t>
      </w:r>
      <w:r w:rsidR="00C71C4D">
        <w:rPr>
          <w:sz w:val="22"/>
          <w:szCs w:val="22"/>
        </w:rPr>
        <w:t xml:space="preserve"> a</w:t>
      </w:r>
      <w:r w:rsidR="00DA41D8">
        <w:rPr>
          <w:sz w:val="22"/>
          <w:szCs w:val="22"/>
        </w:rPr>
        <w:t>biotic)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>2-</w:t>
      </w:r>
      <w:r>
        <w:rPr>
          <w:sz w:val="22"/>
          <w:szCs w:val="22"/>
        </w:rPr>
        <w:t xml:space="preserve"> </w:t>
      </w:r>
      <w:r w:rsidR="001810CD">
        <w:rPr>
          <w:sz w:val="22"/>
          <w:szCs w:val="22"/>
        </w:rPr>
        <w:t>location of the causal agents inside or outside</w:t>
      </w:r>
      <w:r w:rsidR="00DA41D8">
        <w:rPr>
          <w:sz w:val="22"/>
          <w:szCs w:val="22"/>
        </w:rPr>
        <w:t xml:space="preserve"> seeds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B3- </w:t>
      </w:r>
      <w:r w:rsidR="001810CD">
        <w:rPr>
          <w:sz w:val="22"/>
          <w:szCs w:val="22"/>
        </w:rPr>
        <w:t>detection of the causal agents from the seeds</w:t>
      </w:r>
    </w:p>
    <w:p w:rsidR="00392EBF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</w:t>
      </w:r>
      <w:r w:rsidRPr="001810CD">
        <w:rPr>
          <w:sz w:val="22"/>
          <w:szCs w:val="22"/>
        </w:rPr>
        <w:t>to</w:t>
      </w:r>
      <w:r w:rsidR="001810CD" w:rsidRPr="001810CD">
        <w:t xml:space="preserve"> have an idea</w:t>
      </w:r>
      <w:r w:rsidR="001810CD">
        <w:rPr>
          <w:b/>
          <w:bCs/>
        </w:rPr>
        <w:t xml:space="preserve"> </w:t>
      </w:r>
    </w:p>
    <w:p w:rsidR="00392EBF" w:rsidRPr="002F399A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1</w:t>
      </w:r>
      <w:r w:rsidR="001810CD">
        <w:rPr>
          <w:sz w:val="22"/>
          <w:szCs w:val="22"/>
        </w:rPr>
        <w:t xml:space="preserve">-effect of seed viability </w:t>
      </w:r>
      <w:r>
        <w:rPr>
          <w:sz w:val="22"/>
          <w:szCs w:val="22"/>
        </w:rPr>
        <w:t>.</w:t>
      </w:r>
    </w:p>
    <w:p w:rsidR="00392EBF" w:rsidRPr="009F4E1B" w:rsidRDefault="00392EBF" w:rsidP="00DA41D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2-</w:t>
      </w:r>
      <w:r w:rsidR="001810CD">
        <w:rPr>
          <w:sz w:val="22"/>
          <w:szCs w:val="22"/>
        </w:rPr>
        <w:t>different techniques for detection of these causal agents</w:t>
      </w:r>
      <w:r w:rsidR="001810CD">
        <w:rPr>
          <w:sz w:val="22"/>
          <w:szCs w:val="22"/>
        </w:rPr>
        <w:br/>
        <w:t>C3- biochemical changes in seeds due to infection</w:t>
      </w:r>
    </w:p>
    <w:p w:rsidR="00392EBF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  <w:r>
        <w:rPr>
          <w:sz w:val="22"/>
          <w:szCs w:val="22"/>
        </w:rPr>
        <w:t xml:space="preserve"> have an idea</w:t>
      </w:r>
    </w:p>
    <w:p w:rsidR="00392EBF" w:rsidRPr="004662E2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>
        <w:rPr>
          <w:sz w:val="22"/>
          <w:szCs w:val="22"/>
        </w:rPr>
        <w:t xml:space="preserve"> examples of the different </w:t>
      </w:r>
      <w:r w:rsidR="001810CD">
        <w:rPr>
          <w:sz w:val="22"/>
          <w:szCs w:val="22"/>
        </w:rPr>
        <w:t xml:space="preserve">seed borne </w:t>
      </w:r>
      <w:r>
        <w:rPr>
          <w:sz w:val="22"/>
          <w:szCs w:val="22"/>
        </w:rPr>
        <w:t xml:space="preserve"> diseases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2-</w:t>
      </w:r>
      <w:r>
        <w:rPr>
          <w:sz w:val="22"/>
          <w:szCs w:val="22"/>
        </w:rPr>
        <w:t xml:space="preserve"> epidemiology</w:t>
      </w:r>
      <w:r w:rsidR="001810CD">
        <w:rPr>
          <w:sz w:val="22"/>
          <w:szCs w:val="22"/>
        </w:rPr>
        <w:t xml:space="preserve"> in relation to environmental conditions</w:t>
      </w:r>
      <w:r>
        <w:rPr>
          <w:sz w:val="22"/>
          <w:szCs w:val="22"/>
        </w:rPr>
        <w:t xml:space="preserve"> 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D3- Integrated control methods of </w:t>
      </w:r>
      <w:r w:rsidR="001810CD">
        <w:rPr>
          <w:sz w:val="22"/>
          <w:szCs w:val="22"/>
        </w:rPr>
        <w:t>seed borne</w:t>
      </w:r>
      <w:r>
        <w:rPr>
          <w:sz w:val="22"/>
          <w:szCs w:val="22"/>
        </w:rPr>
        <w:t xml:space="preserve"> diseases</w:t>
      </w:r>
      <w:r w:rsidRPr="004662E2">
        <w:rPr>
          <w:sz w:val="22"/>
          <w:szCs w:val="22"/>
        </w:rPr>
        <w:t xml:space="preserve"> </w:t>
      </w:r>
    </w:p>
    <w:p w:rsidR="001810CD" w:rsidRDefault="001810CD" w:rsidP="001810CD">
      <w:pPr>
        <w:jc w:val="both"/>
        <w:rPr>
          <w:sz w:val="22"/>
          <w:szCs w:val="22"/>
        </w:rPr>
      </w:pPr>
    </w:p>
    <w:p w:rsidR="00392EBF" w:rsidRDefault="00392EBF" w:rsidP="00392EB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Pr="00036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415"/>
        <w:gridCol w:w="2921"/>
      </w:tblGrid>
      <w:tr w:rsidR="00392EBF" w:rsidRPr="001F4C6A" w:rsidTr="00414128">
        <w:tc>
          <w:tcPr>
            <w:tcW w:w="1996" w:type="dxa"/>
          </w:tcPr>
          <w:p w:rsidR="00392EBF" w:rsidRPr="001F4C6A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15" w:type="dxa"/>
          </w:tcPr>
          <w:p w:rsidR="00392EBF" w:rsidRPr="001F4C6A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21" w:type="dxa"/>
          </w:tcPr>
          <w:p w:rsidR="00392EBF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392EBF" w:rsidRPr="001F4C6A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2EBF" w:rsidRPr="0015401A" w:rsidTr="00414128">
        <w:tc>
          <w:tcPr>
            <w:tcW w:w="1996" w:type="dxa"/>
          </w:tcPr>
          <w:p w:rsidR="00392EBF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A. Knowledge and Understanding</w:t>
            </w:r>
          </w:p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(A1-A3)</w:t>
            </w:r>
          </w:p>
        </w:tc>
        <w:tc>
          <w:tcPr>
            <w:tcW w:w="3415" w:type="dxa"/>
          </w:tcPr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Lectures and Discussions</w:t>
            </w:r>
          </w:p>
        </w:tc>
        <w:tc>
          <w:tcPr>
            <w:tcW w:w="2921" w:type="dxa"/>
          </w:tcPr>
          <w:p w:rsidR="00392EBF" w:rsidRPr="00E50CB0" w:rsidRDefault="00392EBF" w:rsidP="00DA41D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</w:t>
            </w:r>
            <w:r w:rsidR="00DA41D8">
              <w:rPr>
                <w:b/>
                <w:bCs/>
                <w:sz w:val="18"/>
                <w:szCs w:val="18"/>
              </w:rPr>
              <w:t xml:space="preserve"> and</w:t>
            </w:r>
            <w:r>
              <w:rPr>
                <w:b/>
                <w:bCs/>
              </w:rPr>
              <w:t xml:space="preserve"> </w:t>
            </w:r>
            <w:r w:rsidR="001810CD">
              <w:rPr>
                <w:b/>
                <w:bCs/>
              </w:rPr>
              <w:t>presentation</w:t>
            </w:r>
          </w:p>
        </w:tc>
      </w:tr>
      <w:tr w:rsidR="00392EBF" w:rsidRPr="0015401A" w:rsidTr="00414128">
        <w:tc>
          <w:tcPr>
            <w:tcW w:w="1996" w:type="dxa"/>
          </w:tcPr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B. Intellectual Analytical and Cognitive Skills</w:t>
            </w:r>
          </w:p>
          <w:p w:rsidR="00392EBF" w:rsidRPr="00E26A54" w:rsidRDefault="00392EBF" w:rsidP="0053589B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(B1-B</w:t>
            </w:r>
            <w:r w:rsidR="0053589B">
              <w:rPr>
                <w:sz w:val="18"/>
                <w:szCs w:val="18"/>
              </w:rPr>
              <w:t>3</w:t>
            </w:r>
            <w:r w:rsidRPr="00E26A54">
              <w:rPr>
                <w:sz w:val="18"/>
                <w:szCs w:val="18"/>
              </w:rPr>
              <w:t>)</w:t>
            </w:r>
          </w:p>
        </w:tc>
        <w:tc>
          <w:tcPr>
            <w:tcW w:w="3415" w:type="dxa"/>
          </w:tcPr>
          <w:p w:rsidR="00392EBF" w:rsidRPr="0015401A" w:rsidRDefault="00392EBF" w:rsidP="00414128">
            <w:pPr>
              <w:ind w:right="720"/>
            </w:pPr>
            <w:r w:rsidRPr="0015401A">
              <w:t xml:space="preserve">: </w:t>
            </w:r>
            <w:r w:rsidRPr="00E26A54">
              <w:rPr>
                <w:sz w:val="18"/>
                <w:szCs w:val="18"/>
              </w:rPr>
              <w:t>Lectures and Discussions</w:t>
            </w:r>
          </w:p>
        </w:tc>
        <w:tc>
          <w:tcPr>
            <w:tcW w:w="2921" w:type="dxa"/>
          </w:tcPr>
          <w:p w:rsidR="00392EBF" w:rsidRPr="00E50CB0" w:rsidRDefault="00392EBF" w:rsidP="0041412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Quiz,</w:t>
            </w:r>
            <w:r>
              <w:rPr>
                <w:b/>
                <w:bCs/>
              </w:rPr>
              <w:t xml:space="preserve"> </w:t>
            </w:r>
          </w:p>
        </w:tc>
      </w:tr>
      <w:tr w:rsidR="00392EBF" w:rsidRPr="0015401A" w:rsidTr="00414128">
        <w:tc>
          <w:tcPr>
            <w:tcW w:w="1996" w:type="dxa"/>
          </w:tcPr>
          <w:p w:rsidR="00392EBF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C. Subject- Specific Skills</w:t>
            </w:r>
          </w:p>
          <w:p w:rsidR="00392EBF" w:rsidRPr="00E26A54" w:rsidRDefault="00392EBF" w:rsidP="0053589B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(C1-C</w:t>
            </w:r>
            <w:r w:rsidR="0053589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15" w:type="dxa"/>
          </w:tcPr>
          <w:p w:rsidR="00392EBF" w:rsidRPr="0015401A" w:rsidRDefault="00392EBF" w:rsidP="00414128">
            <w:pPr>
              <w:ind w:right="720"/>
            </w:pPr>
            <w:r w:rsidRPr="00E26A54">
              <w:rPr>
                <w:sz w:val="18"/>
                <w:szCs w:val="18"/>
              </w:rPr>
              <w:t>Lectures and Discussions</w:t>
            </w:r>
          </w:p>
        </w:tc>
        <w:tc>
          <w:tcPr>
            <w:tcW w:w="2921" w:type="dxa"/>
          </w:tcPr>
          <w:p w:rsidR="00392EBF" w:rsidRPr="00E50CB0" w:rsidRDefault="00392EBF" w:rsidP="0041412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Quiz,</w:t>
            </w:r>
            <w:r>
              <w:rPr>
                <w:b/>
                <w:bCs/>
              </w:rPr>
              <w:t xml:space="preserve"> </w:t>
            </w:r>
          </w:p>
        </w:tc>
      </w:tr>
      <w:tr w:rsidR="00392EBF" w:rsidRPr="0015401A" w:rsidTr="00414128">
        <w:tc>
          <w:tcPr>
            <w:tcW w:w="1996" w:type="dxa"/>
          </w:tcPr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D. Transferable Key Skills</w:t>
            </w:r>
            <w:r>
              <w:rPr>
                <w:sz w:val="18"/>
                <w:szCs w:val="18"/>
              </w:rPr>
              <w:t xml:space="preserve"> (D1-D3)</w:t>
            </w:r>
          </w:p>
        </w:tc>
        <w:tc>
          <w:tcPr>
            <w:tcW w:w="3415" w:type="dxa"/>
          </w:tcPr>
          <w:p w:rsidR="00392EBF" w:rsidRPr="00E26A54" w:rsidRDefault="0053589B" w:rsidP="00DA41D8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</w:t>
            </w:r>
            <w:r w:rsidR="00DA41D8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presentation</w:t>
            </w:r>
          </w:p>
        </w:tc>
        <w:tc>
          <w:tcPr>
            <w:tcW w:w="2921" w:type="dxa"/>
          </w:tcPr>
          <w:p w:rsidR="00392EBF" w:rsidRPr="00E50CB0" w:rsidRDefault="00392EBF" w:rsidP="0041412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Quiz,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392EBF" w:rsidRPr="003C669D" w:rsidRDefault="00392EBF" w:rsidP="00392EBF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392EBF" w:rsidRPr="0078586D" w:rsidRDefault="00392EBF" w:rsidP="00392EBF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1896"/>
        <w:gridCol w:w="1584"/>
        <w:gridCol w:w="1543"/>
      </w:tblGrid>
      <w:tr w:rsidR="00392EBF" w:rsidRPr="0068485D" w:rsidTr="0053589B">
        <w:tc>
          <w:tcPr>
            <w:tcW w:w="4042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1668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392EBF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pStyle w:val="Style"/>
              <w:spacing w:line="168" w:lineRule="exact"/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</w:pP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Introduction: </w:t>
            </w:r>
          </w:p>
          <w:p w:rsidR="0053589B" w:rsidRPr="00431909" w:rsidRDefault="0053589B" w:rsidP="0053589B">
            <w:pPr>
              <w:pStyle w:val="Style"/>
              <w:spacing w:line="273" w:lineRule="exact"/>
              <w:ind w:right="1608"/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</w:pP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>Historical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  </w:t>
            </w: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development. Development of seed health testing, </w:t>
            </w: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br/>
              <w:t xml:space="preserve">Significance </w:t>
            </w:r>
          </w:p>
          <w:p w:rsidR="00392EBF" w:rsidRPr="0053589B" w:rsidRDefault="0053589B" w:rsidP="0053589B">
            <w:pPr>
              <w:pStyle w:val="Style"/>
              <w:spacing w:line="273" w:lineRule="exact"/>
              <w:ind w:right="1608"/>
              <w:rPr>
                <w:lang w:val="en-GB" w:bidi="ar-JO"/>
              </w:rPr>
            </w:pP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 </w:t>
            </w:r>
          </w:p>
        </w:tc>
        <w:tc>
          <w:tcPr>
            <w:tcW w:w="1668" w:type="dxa"/>
          </w:tcPr>
          <w:p w:rsidR="00392EBF" w:rsidRDefault="00392EBF" w:rsidP="0053589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</w:t>
            </w:r>
            <w:r w:rsidR="0053589B">
              <w:rPr>
                <w:lang w:bidi="ar-JO"/>
              </w:rPr>
              <w:t>3,8,17</w:t>
            </w:r>
          </w:p>
          <w:p w:rsidR="00392EBF" w:rsidRPr="008735F2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</w:tcPr>
          <w:p w:rsidR="00392EBF" w:rsidRPr="008735F2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497" w:type="dxa"/>
          </w:tcPr>
          <w:p w:rsidR="00392EBF" w:rsidRPr="008735F2" w:rsidRDefault="00392EBF" w:rsidP="0053589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A1,A2,</w:t>
            </w:r>
            <w:r w:rsidR="0053589B">
              <w:rPr>
                <w:lang w:bidi="ar-JO"/>
              </w:rPr>
              <w:t>B1,B2</w:t>
            </w:r>
          </w:p>
        </w:tc>
      </w:tr>
      <w:tr w:rsidR="00392EBF" w:rsidRPr="008735F2" w:rsidTr="0053589B">
        <w:tc>
          <w:tcPr>
            <w:tcW w:w="4042" w:type="dxa"/>
            <w:shd w:val="clear" w:color="auto" w:fill="E6E6E6"/>
          </w:tcPr>
          <w:p w:rsidR="0053589B" w:rsidRPr="00431909" w:rsidRDefault="0053589B" w:rsidP="0053589B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val="en-GB" w:bidi="ar-JO"/>
              </w:rPr>
              <w:t>Seed borne pathogens</w:t>
            </w:r>
          </w:p>
          <w:p w:rsidR="0053589B" w:rsidRPr="00431909" w:rsidRDefault="0053589B" w:rsidP="0053589B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val="en-GB" w:bidi="ar-JO"/>
              </w:rPr>
              <w:t>Fungi, Bacteria, Mycoplasma like organisms. Fastidious</w:t>
            </w:r>
            <w:r w:rsidRPr="00431909">
              <w:rPr>
                <w:rFonts w:asciiTheme="majorBidi" w:hAnsiTheme="majorBidi" w:cstheme="majorBidi"/>
                <w:rtl/>
                <w:lang w:val="en-GB" w:bidi="ar-JO"/>
              </w:rPr>
              <w:t xml:space="preserve"> </w:t>
            </w:r>
          </w:p>
          <w:p w:rsidR="00392EBF" w:rsidRPr="0053589B" w:rsidRDefault="0053589B" w:rsidP="0053589B">
            <w:pPr>
              <w:tabs>
                <w:tab w:val="right" w:pos="6840"/>
              </w:tabs>
              <w:jc w:val="both"/>
              <w:rPr>
                <w:i/>
                <w:iCs/>
                <w:lang w:val="en-GB" w:bidi="ar-JO"/>
              </w:rPr>
            </w:pPr>
            <w:r w:rsidRPr="00431909">
              <w:rPr>
                <w:rFonts w:asciiTheme="majorBidi" w:hAnsiTheme="majorBidi" w:cstheme="majorBidi"/>
                <w:lang w:val="en-GB" w:bidi="ar-JO"/>
              </w:rPr>
              <w:t>Vascular</w:t>
            </w:r>
            <w:r>
              <w:rPr>
                <w:rFonts w:asciiTheme="majorBidi" w:hAnsiTheme="majorBidi" w:cstheme="majorBidi"/>
                <w:lang w:val="en-GB" w:bidi="ar-JO"/>
              </w:rPr>
              <w:t xml:space="preserve"> </w:t>
            </w:r>
            <w:r w:rsidRPr="00431909">
              <w:rPr>
                <w:rFonts w:asciiTheme="majorBidi" w:hAnsiTheme="majorBidi" w:cstheme="majorBidi"/>
                <w:lang w:val="en-GB" w:bidi="ar-JO"/>
              </w:rPr>
              <w:t xml:space="preserve">bacteria, </w:t>
            </w:r>
            <w:proofErr w:type="spellStart"/>
            <w:r w:rsidRPr="00431909">
              <w:rPr>
                <w:rFonts w:asciiTheme="majorBidi" w:hAnsiTheme="majorBidi" w:cstheme="majorBidi"/>
                <w:lang w:val="en-GB" w:bidi="ar-JO"/>
              </w:rPr>
              <w:t>Spiroplasma</w:t>
            </w:r>
            <w:proofErr w:type="spellEnd"/>
            <w:r w:rsidRPr="00431909">
              <w:rPr>
                <w:rFonts w:asciiTheme="majorBidi" w:hAnsiTheme="majorBidi" w:cstheme="majorBidi"/>
                <w:lang w:val="en-GB" w:bidi="ar-JO"/>
              </w:rPr>
              <w:t>, Viruses</w:t>
            </w:r>
            <w:r>
              <w:rPr>
                <w:rFonts w:asciiTheme="majorBidi" w:hAnsiTheme="majorBidi" w:cstheme="majorBidi"/>
                <w:lang w:val="en-GB" w:bidi="ar-JO"/>
              </w:rPr>
              <w:t>,</w:t>
            </w:r>
            <w:r w:rsidRPr="00431909">
              <w:rPr>
                <w:rFonts w:asciiTheme="majorBidi" w:hAnsiTheme="majorBidi" w:cstheme="majorBidi"/>
                <w:lang w:val="en-GB" w:bidi="ar-JO"/>
              </w:rPr>
              <w:t xml:space="preserve"> </w:t>
            </w:r>
            <w:proofErr w:type="spellStart"/>
            <w:r w:rsidRPr="00431909">
              <w:rPr>
                <w:rFonts w:asciiTheme="majorBidi" w:hAnsiTheme="majorBidi" w:cstheme="majorBidi"/>
                <w:lang w:val="en-GB" w:bidi="ar-JO"/>
              </w:rPr>
              <w:t>viroids</w:t>
            </w:r>
            <w:proofErr w:type="spellEnd"/>
            <w:r w:rsidRPr="00431909">
              <w:rPr>
                <w:rFonts w:asciiTheme="majorBidi" w:hAnsiTheme="majorBidi" w:cstheme="majorBidi"/>
                <w:lang w:val="en-GB" w:bidi="ar-JO"/>
              </w:rPr>
              <w:t>, Nematodes</w:t>
            </w:r>
          </w:p>
        </w:tc>
        <w:tc>
          <w:tcPr>
            <w:tcW w:w="1668" w:type="dxa"/>
            <w:shd w:val="clear" w:color="auto" w:fill="E6E6E6"/>
          </w:tcPr>
          <w:p w:rsidR="00392EBF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1,2,9,10,13,15,17</w:t>
            </w:r>
          </w:p>
        </w:tc>
        <w:tc>
          <w:tcPr>
            <w:tcW w:w="1649" w:type="dxa"/>
            <w:shd w:val="clear" w:color="auto" w:fill="E6E6E6"/>
          </w:tcPr>
          <w:p w:rsidR="00392EBF" w:rsidRPr="00587D47" w:rsidRDefault="00392EBF" w:rsidP="00331D7E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  <w:tc>
          <w:tcPr>
            <w:tcW w:w="1497" w:type="dxa"/>
            <w:shd w:val="clear" w:color="auto" w:fill="E6E6E6"/>
          </w:tcPr>
          <w:p w:rsidR="00392EBF" w:rsidRPr="00587D47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587D47">
              <w:rPr>
                <w:b/>
                <w:bCs/>
                <w:lang w:bidi="ar-JO"/>
              </w:rPr>
              <w:t>B1</w:t>
            </w:r>
            <w:r>
              <w:rPr>
                <w:b/>
                <w:bCs/>
                <w:lang w:bidi="ar-JO"/>
              </w:rPr>
              <w:t>, B2</w:t>
            </w:r>
          </w:p>
        </w:tc>
      </w:tr>
      <w:tr w:rsidR="00392EBF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Location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inoculum : I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Histopathology of some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pathogens, Seed infection (embryo, endosperm and </w:t>
            </w:r>
            <w:proofErr w:type="spellStart"/>
            <w:r w:rsidRPr="00431909">
              <w:rPr>
                <w:rFonts w:asciiTheme="majorBidi" w:hAnsiTheme="majorBidi" w:cstheme="majorBidi"/>
              </w:rPr>
              <w:t>perisperm</w:t>
            </w:r>
            <w:proofErr w:type="spellEnd"/>
            <w:r w:rsidRPr="00431909">
              <w:rPr>
                <w:rFonts w:asciiTheme="majorBidi" w:hAnsiTheme="majorBidi" w:cstheme="majorBidi"/>
              </w:rPr>
              <w:t>. seed coat and pericarp. glume infection), Seed infestation or contamination</w:t>
            </w:r>
          </w:p>
          <w:p w:rsidR="00392EBF" w:rsidRPr="008735F2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392EBF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4,12,14,15,17,18</w:t>
            </w:r>
          </w:p>
        </w:tc>
        <w:tc>
          <w:tcPr>
            <w:tcW w:w="1649" w:type="dxa"/>
          </w:tcPr>
          <w:p w:rsidR="00392EBF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3,4</w:t>
            </w:r>
          </w:p>
        </w:tc>
        <w:tc>
          <w:tcPr>
            <w:tcW w:w="1497" w:type="dxa"/>
          </w:tcPr>
          <w:p w:rsidR="00392EBF" w:rsidRPr="008735F2" w:rsidRDefault="00392EBF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</w:t>
            </w:r>
            <w:r w:rsidR="00331D7E">
              <w:rPr>
                <w:lang w:bidi="ar-JO"/>
              </w:rPr>
              <w:t>2, C1, C2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414128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bidi="ar-JO"/>
              </w:rPr>
              <w:t>Mechanism of seed infection ( seed infection, seed infestation or contamination)</w:t>
            </w: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1,2,4,10,16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497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B2, C1, D2</w:t>
            </w:r>
          </w:p>
        </w:tc>
      </w:tr>
      <w:tr w:rsidR="0053589B" w:rsidRPr="008735F2" w:rsidTr="0053589B">
        <w:tc>
          <w:tcPr>
            <w:tcW w:w="4042" w:type="dxa"/>
            <w:shd w:val="clear" w:color="auto" w:fill="E6E6E6"/>
          </w:tcPr>
          <w:p w:rsidR="0053589B" w:rsidRPr="00431909" w:rsidRDefault="0053589B" w:rsidP="0053589B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bidi="ar-JO"/>
              </w:rPr>
              <w:t>Factors affecting seed infection:</w:t>
            </w:r>
          </w:p>
          <w:p w:rsidR="0053589B" w:rsidRPr="006C56E4" w:rsidRDefault="0053589B" w:rsidP="0053589B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  <w:r w:rsidRPr="00431909">
              <w:rPr>
                <w:rFonts w:asciiTheme="majorBidi" w:hAnsiTheme="majorBidi" w:cstheme="majorBidi"/>
                <w:lang w:bidi="ar-JO"/>
              </w:rPr>
              <w:t>Host genotype, environment, crop management, type of inoculum, seed quality, plant growth stage, mother plant infection, insect infestation and pathogen interaction.</w:t>
            </w:r>
          </w:p>
        </w:tc>
        <w:tc>
          <w:tcPr>
            <w:tcW w:w="1668" w:type="dxa"/>
            <w:shd w:val="clear" w:color="auto" w:fill="E6E6E6"/>
          </w:tcPr>
          <w:p w:rsidR="0053589B" w:rsidRDefault="00331D7E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9,10,17</w:t>
            </w:r>
          </w:p>
        </w:tc>
        <w:tc>
          <w:tcPr>
            <w:tcW w:w="1649" w:type="dxa"/>
            <w:shd w:val="clear" w:color="auto" w:fill="E6E6E6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6,</w:t>
            </w:r>
            <w:r w:rsidR="0053589B">
              <w:rPr>
                <w:lang w:bidi="ar-JO"/>
              </w:rPr>
              <w:t>7</w:t>
            </w:r>
          </w:p>
        </w:tc>
        <w:tc>
          <w:tcPr>
            <w:tcW w:w="1497" w:type="dxa"/>
            <w:shd w:val="clear" w:color="auto" w:fill="E6E6E6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A3, C1, D2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Longevity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pathogens: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Longevity, factors influencing longevity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9,10,14,15,17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497" w:type="dxa"/>
          </w:tcPr>
          <w:p w:rsidR="0053589B" w:rsidRPr="008735F2" w:rsidRDefault="00331D7E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</w:t>
            </w:r>
            <w:r w:rsidR="0053589B">
              <w:rPr>
                <w:lang w:bidi="ar-JO"/>
              </w:rPr>
              <w:t>1-</w:t>
            </w:r>
            <w:r>
              <w:rPr>
                <w:lang w:bidi="ar-JO"/>
              </w:rPr>
              <w:t>C2</w:t>
            </w:r>
          </w:p>
        </w:tc>
      </w:tr>
      <w:tr w:rsidR="0053589B" w:rsidRPr="006C56E4" w:rsidTr="0053589B">
        <w:tc>
          <w:tcPr>
            <w:tcW w:w="4042" w:type="dxa"/>
            <w:shd w:val="clear" w:color="auto" w:fill="E0E0E0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Seed transmission and inoculation: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 Seed transmission ( systemic and </w:t>
            </w:r>
            <w:proofErr w:type="spellStart"/>
            <w:r w:rsidRPr="00431909">
              <w:rPr>
                <w:rFonts w:asciiTheme="majorBidi" w:hAnsiTheme="majorBidi" w:cstheme="majorBidi"/>
              </w:rPr>
              <w:t>nonsystemic</w:t>
            </w:r>
            <w:proofErr w:type="spellEnd"/>
            <w:r w:rsidRPr="00431909">
              <w:rPr>
                <w:rFonts w:asciiTheme="majorBidi" w:hAnsiTheme="majorBidi" w:cstheme="majorBidi"/>
              </w:rPr>
              <w:t>), seed inoculation</w:t>
            </w:r>
          </w:p>
          <w:p w:rsidR="0053589B" w:rsidRPr="006C56E4" w:rsidRDefault="0053589B" w:rsidP="00414128">
            <w:pPr>
              <w:tabs>
                <w:tab w:val="right" w:pos="6840"/>
              </w:tabs>
              <w:jc w:val="both"/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1668" w:type="dxa"/>
            <w:shd w:val="clear" w:color="auto" w:fill="E0E0E0"/>
          </w:tcPr>
          <w:p w:rsidR="0053589B" w:rsidRPr="006C56E4" w:rsidRDefault="00331D7E" w:rsidP="00414128">
            <w:pPr>
              <w:tabs>
                <w:tab w:val="right" w:pos="6840"/>
              </w:tabs>
              <w:jc w:val="both"/>
              <w:rPr>
                <w:b/>
                <w:bCs/>
                <w:color w:val="800000"/>
                <w:lang w:bidi="ar-JO"/>
              </w:rPr>
            </w:pPr>
            <w:r>
              <w:rPr>
                <w:lang w:bidi="ar-JO"/>
              </w:rPr>
              <w:t>11, 15,17</w:t>
            </w:r>
          </w:p>
        </w:tc>
        <w:tc>
          <w:tcPr>
            <w:tcW w:w="1649" w:type="dxa"/>
            <w:shd w:val="clear" w:color="auto" w:fill="E0E0E0"/>
          </w:tcPr>
          <w:p w:rsidR="0053589B" w:rsidRPr="00587D47" w:rsidRDefault="00331D7E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  <w:tc>
          <w:tcPr>
            <w:tcW w:w="1497" w:type="dxa"/>
            <w:shd w:val="clear" w:color="auto" w:fill="E0E0E0"/>
          </w:tcPr>
          <w:p w:rsidR="0053589B" w:rsidRPr="00587D47" w:rsidRDefault="00331D7E" w:rsidP="00331D7E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C2</w:t>
            </w:r>
            <w:r w:rsidR="0053589B" w:rsidRPr="00587D47">
              <w:rPr>
                <w:b/>
                <w:bCs/>
                <w:lang w:bidi="ar-JO"/>
              </w:rPr>
              <w:t>-D</w:t>
            </w:r>
            <w:r>
              <w:rPr>
                <w:b/>
                <w:bCs/>
                <w:lang w:bidi="ar-JO"/>
              </w:rPr>
              <w:t>2</w:t>
            </w:r>
          </w:p>
        </w:tc>
      </w:tr>
      <w:tr w:rsidR="0053589B" w:rsidRPr="008735F2" w:rsidTr="0053589B">
        <w:tc>
          <w:tcPr>
            <w:tcW w:w="4042" w:type="dxa"/>
            <w:shd w:val="clear" w:color="auto" w:fill="E6E6E6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Factors affecting seed </w:t>
            </w:r>
            <w:proofErr w:type="spellStart"/>
            <w:r w:rsidRPr="00431909">
              <w:rPr>
                <w:rFonts w:asciiTheme="majorBidi" w:hAnsiTheme="majorBidi" w:cstheme="majorBidi"/>
              </w:rPr>
              <w:t>transimission</w:t>
            </w:r>
            <w:proofErr w:type="spellEnd"/>
            <w:r w:rsidRPr="00431909">
              <w:rPr>
                <w:rFonts w:asciiTheme="majorBidi" w:hAnsiTheme="majorBidi" w:cstheme="majorBidi"/>
              </w:rPr>
              <w:t>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Crop species. Environment, inoculum, survival of inoculum. 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cultural practices. seed abnormalities, seed germination. seed ,</w:t>
            </w:r>
          </w:p>
          <w:p w:rsidR="0053589B" w:rsidRDefault="0053589B" w:rsidP="0053589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431909">
              <w:rPr>
                <w:rFonts w:asciiTheme="majorBidi" w:hAnsiTheme="majorBidi" w:cstheme="majorBidi"/>
              </w:rPr>
              <w:t xml:space="preserve">leachates, and presence of other </w:t>
            </w:r>
            <w:r w:rsidRPr="00431909">
              <w:rPr>
                <w:rFonts w:asciiTheme="majorBidi" w:hAnsiTheme="majorBidi" w:cstheme="majorBidi"/>
              </w:rPr>
              <w:lastRenderedPageBreak/>
              <w:t>microflora</w:t>
            </w:r>
          </w:p>
        </w:tc>
        <w:tc>
          <w:tcPr>
            <w:tcW w:w="1668" w:type="dxa"/>
            <w:shd w:val="clear" w:color="auto" w:fill="E6E6E6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lastRenderedPageBreak/>
              <w:t>7,13,15,17</w:t>
            </w:r>
          </w:p>
        </w:tc>
        <w:tc>
          <w:tcPr>
            <w:tcW w:w="1649" w:type="dxa"/>
            <w:shd w:val="clear" w:color="auto" w:fill="E6E6E6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9-10</w:t>
            </w:r>
          </w:p>
        </w:tc>
        <w:tc>
          <w:tcPr>
            <w:tcW w:w="1497" w:type="dxa"/>
            <w:shd w:val="clear" w:color="auto" w:fill="E6E6E6"/>
          </w:tcPr>
          <w:p w:rsidR="0053589B" w:rsidRDefault="00331D7E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A3</w:t>
            </w:r>
            <w:r w:rsidR="0053589B" w:rsidRPr="00587D47">
              <w:rPr>
                <w:b/>
                <w:bCs/>
                <w:lang w:bidi="ar-JO"/>
              </w:rPr>
              <w:t>-D</w:t>
            </w:r>
            <w:r>
              <w:rPr>
                <w:b/>
                <w:bCs/>
                <w:lang w:bidi="ar-JO"/>
              </w:rPr>
              <w:t>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lastRenderedPageBreak/>
              <w:t xml:space="preserve">Epidemiology and inoculum thresholds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pathogens: epidemiology ( classification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diseases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based on epidemiology), inoculum thresholds, development of inoculum thresholds.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7,8,10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11,12</w:t>
            </w:r>
          </w:p>
        </w:tc>
        <w:tc>
          <w:tcPr>
            <w:tcW w:w="1497" w:type="dxa"/>
          </w:tcPr>
          <w:p w:rsidR="0053589B" w:rsidRPr="00587D47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A3,B2,C2D2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Nonparasitic seed disorders: 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Genetic effects. mechanical injuries, environmental effects.</w:t>
            </w:r>
          </w:p>
          <w:p w:rsidR="0053589B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mineral deficiencies, and insect damage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9,10,13,15,17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497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A1,D1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Deterioration of seeds by storage fungi: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Field and storage fungi, invasion by </w:t>
            </w:r>
            <w:r>
              <w:rPr>
                <w:rFonts w:asciiTheme="majorBidi" w:hAnsiTheme="majorBidi" w:cstheme="majorBidi"/>
              </w:rPr>
              <w:t>st</w:t>
            </w:r>
            <w:r w:rsidRPr="00431909">
              <w:rPr>
                <w:rFonts w:asciiTheme="majorBidi" w:hAnsiTheme="majorBidi" w:cstheme="majorBidi"/>
              </w:rPr>
              <w:t>orage fungi. losses.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conditions favoring storage fungi development, detection of damage. and control.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53589B" w:rsidRPr="00431909" w:rsidRDefault="0053589B" w:rsidP="0041412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668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1,2,10,13,17</w:t>
            </w:r>
          </w:p>
        </w:tc>
        <w:tc>
          <w:tcPr>
            <w:tcW w:w="1649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497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B1-D1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mycotoxicoses</w:t>
            </w:r>
            <w:proofErr w:type="spellEnd"/>
            <w:r w:rsidRPr="00431909">
              <w:rPr>
                <w:rFonts w:asciiTheme="majorBidi" w:hAnsiTheme="majorBidi" w:cstheme="majorBidi"/>
              </w:rPr>
              <w:t>: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*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, fungi known to produce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, factors affecting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production, effects of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>. and detection.</w:t>
            </w:r>
          </w:p>
          <w:p w:rsidR="0053589B" w:rsidRPr="00431909" w:rsidRDefault="0053589B" w:rsidP="0041412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668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1,10,16,17</w:t>
            </w:r>
          </w:p>
        </w:tc>
        <w:tc>
          <w:tcPr>
            <w:tcW w:w="1649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1497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C1,C2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Control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seedboine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pathogens: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Introduction, selection of seed production area, crop, management, seed treatment. certification. plant quarantine, disease resistance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2,6,8,10,17</w:t>
            </w:r>
          </w:p>
        </w:tc>
        <w:tc>
          <w:tcPr>
            <w:tcW w:w="1649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1497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A3,C1,C2,D2</w:t>
            </w:r>
          </w:p>
        </w:tc>
      </w:tr>
    </w:tbl>
    <w:p w:rsidR="00392EBF" w:rsidRDefault="00392EBF" w:rsidP="00392EBF"/>
    <w:p w:rsidR="00392EBF" w:rsidRDefault="00392EBF" w:rsidP="00392EBF"/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Pr="0033685C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392EBF" w:rsidRPr="00331D7E" w:rsidRDefault="00392EBF" w:rsidP="00331D7E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Power point theoretical </w:t>
      </w:r>
      <w:r w:rsidRPr="000D7818">
        <w:rPr>
          <w:rFonts w:ascii="Times New Roman" w:hAnsi="Times New Roman" w:cs="Times New Roman"/>
          <w:b w:val="0"/>
          <w:bCs w:val="0"/>
          <w:i w:val="0"/>
          <w:iCs w:val="0"/>
        </w:rPr>
        <w:t>Lectures</w:t>
      </w:r>
      <w:r w:rsidR="00331D7E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discussion</w:t>
      </w:r>
      <w:r w:rsidR="00331D7E" w:rsidRPr="00331D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and presentation</w:t>
      </w:r>
    </w:p>
    <w:p w:rsidR="00392EBF" w:rsidRPr="0033685C" w:rsidRDefault="00392EBF" w:rsidP="00392EBF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392EBF" w:rsidRDefault="00392EBF" w:rsidP="00392EBF">
      <w:pPr>
        <w:tabs>
          <w:tab w:val="right" w:pos="6840"/>
        </w:tabs>
        <w:jc w:val="both"/>
        <w:rPr>
          <w:lang w:bidi="ar-JO"/>
        </w:rPr>
      </w:pPr>
    </w:p>
    <w:p w:rsidR="00392EBF" w:rsidRDefault="00392EBF" w:rsidP="00392EBF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392EBF" w:rsidRPr="003C669D" w:rsidTr="00414128"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92EBF" w:rsidTr="00414128"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392EBF" w:rsidRDefault="00392EBF" w:rsidP="00250EB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392EBF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31D7E" w:rsidTr="00414128">
        <w:tc>
          <w:tcPr>
            <w:tcW w:w="2952" w:type="dxa"/>
          </w:tcPr>
          <w:p w:rsidR="00331D7E" w:rsidRPr="006E6C03" w:rsidRDefault="005B3256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 and term papers</w:t>
            </w:r>
          </w:p>
        </w:tc>
        <w:tc>
          <w:tcPr>
            <w:tcW w:w="2952" w:type="dxa"/>
          </w:tcPr>
          <w:p w:rsidR="00331D7E" w:rsidRDefault="005B3256" w:rsidP="00250EB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331D7E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92EBF" w:rsidTr="00414128"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2952" w:type="dxa"/>
          </w:tcPr>
          <w:p w:rsidR="00392EBF" w:rsidRDefault="005B3256" w:rsidP="00250EB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392EBF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392EBF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Default="00392EBF" w:rsidP="005B3256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References: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  <w:lang w:bidi="ar-JO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  <w:lang w:bidi="ar-JO"/>
        </w:rPr>
        <w:t>Agrios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  <w:lang w:bidi="ar-JO"/>
        </w:rPr>
        <w:t>, G. N. 2005. Plant Pathology. 5-th edition. University of Florida. Academic press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Barry J. Jacobsen, Montana State University (2014). Seed-borne fungal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pathoge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 of vegetable crops . International Workshop on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Diseases of Vegetable Crops . Hyderabad, India June 2-5, 2014, presentation , 30 slid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Beales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Paul (2012)Detection of Fungal Plant Pathogens from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Plants,Soil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>, Water and Air. Detection of Fungal Plant Pathogens from Plants, Soil, Water and Air , Chapter 3: 22-56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Du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Toit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, L.J. ( 2005) Infection of Seed &amp; Transmission of Seed Borne Pathogens. WSU Mount Vernon NWREC link location: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Du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Toit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, L.J. 2013,Scientific method and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>habeus</w:t>
      </w:r>
      <w:proofErr w:type="spellEnd"/>
      <w:r w:rsidRPr="005B3256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 xml:space="preserve"> corpus</w:t>
      </w: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: Assessing the significance and management of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pathogens. Invited seminar presentation, Pl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Sci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501, University of Idaho, 11 Apr. 2013, Moscow, ID.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Du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Toit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, L.J.2009. Efficacy of seed treatments for management of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pathogens and seedling blights of onion. 2009 Short Course of the Columbia Basin Crop Consultants’ Association, 22 Jan. 2009, Moses Lake, WA.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lastRenderedPageBreak/>
        <w:t>Ebrahim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O.,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Babak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Pakdaman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S.,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Majed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B.,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Nima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A., O.,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Shabnam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K., 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Saideh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H. 2014. First Report of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Curtobacterium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pv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Causing Cowpea Bacterial Wilt in Iran. Journal of Phytopathology.1-4</w:t>
      </w:r>
    </w:p>
    <w:p w:rsidR="005B3256" w:rsidRPr="005B3256" w:rsidRDefault="005B3256" w:rsidP="005B3256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Fry. E. William, 1982: Principles of plant disease management, Academic press, INC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Orlenda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, Florida, PP- 378.</w:t>
      </w:r>
    </w:p>
    <w:p w:rsidR="005B3256" w:rsidRPr="005B3256" w:rsidRDefault="005B3256" w:rsidP="005B325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Harveson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R. M., Markell, S. G.,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Goswami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R.,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Urrea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C. A., Burrows, M. E. 2015. Bacterial wilt of dry-edible beans in the central high plains of the U.S. ; past, present,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future.The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American Psychopathological Society.1-13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Michelle M. Cram and Stephen W.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Fraedrich.Seed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Diseases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Pathogens of North America.</w:t>
      </w:r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Tree Planters’ Notes, </w:t>
      </w:r>
      <w:r w:rsidRPr="005B3256">
        <w:rPr>
          <w:rFonts w:asciiTheme="majorBidi" w:eastAsiaTheme="minorHAnsi" w:hAnsiTheme="majorBidi" w:cstheme="majorBidi"/>
          <w:i/>
          <w:iCs/>
          <w:color w:val="000000" w:themeColor="text1"/>
          <w:sz w:val="28"/>
          <w:szCs w:val="28"/>
        </w:rPr>
        <w:t>Volume 53, No. 2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Nazmul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Hasan, Kohinoor Begum,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Ahbubul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Islam and 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Rafiqul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Islam .2015. Transmission Behavior of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Colletotrichum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corchori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from Seed to Plant to Seed in CVL-1 Jute under Different Field Condition World Journal of Agricultural Sciences 11 (4): 215-221, </w:t>
      </w:r>
    </w:p>
    <w:p w:rsidR="005B3256" w:rsidRPr="005B3256" w:rsidRDefault="005B3256" w:rsidP="005B325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>Ritchie, D.F. 2000. Bacterial spot of pepper and tomato. The Plant Health Instructor. DOI: 10.1094/PHI-I-2000-1027-01 Updated 2007.</w:t>
      </w:r>
    </w:p>
    <w:p w:rsidR="005B3256" w:rsidRPr="005B3256" w:rsidRDefault="005B3256" w:rsidP="005B3256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 w:val="28"/>
          <w:szCs w:val="28"/>
        </w:rPr>
      </w:pP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- S. B.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Mathur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Johs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Jrargensen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>, Technical Centre for Agriculture and Rural Co-operation (Ede, Netherlands), 1993, seed pathology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color w:val="0066FF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Sue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Tolin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(2014</w:t>
      </w:r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) Seed-Borne Virus and Virus-Like Diseases of Vegetable </w:t>
      </w:r>
      <w:proofErr w:type="spellStart"/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Crops:Description</w:t>
      </w:r>
      <w:proofErr w:type="spellEnd"/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, Detection, and </w:t>
      </w:r>
      <w:proofErr w:type="spellStart"/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Diagnosis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.IPM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Innovation Lab Plant Virus Disease Global Theme</w:t>
      </w:r>
      <w:r w:rsidRPr="005B3256">
        <w:rPr>
          <w:rFonts w:asciiTheme="majorBidi" w:eastAsiaTheme="minorHAnsi" w:hAnsiTheme="majorBidi" w:cstheme="majorBidi"/>
          <w:color w:val="0066FF"/>
          <w:sz w:val="28"/>
          <w:szCs w:val="28"/>
        </w:rPr>
        <w:t xml:space="preserve">.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Workshop on Seed-borne Viruses of Vegetable Crops. NIPHM</w:t>
      </w:r>
      <w:r w:rsidRPr="005B3256">
        <w:rPr>
          <w:rFonts w:asciiTheme="majorBidi" w:eastAsiaTheme="minorHAnsi" w:hAnsiTheme="majorBidi" w:cstheme="majorBidi"/>
          <w:color w:val="0066FF"/>
          <w:sz w:val="28"/>
          <w:szCs w:val="28"/>
        </w:rPr>
        <w:t xml:space="preserve">: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Hyderabad, India</w:t>
      </w:r>
      <w:r w:rsidRPr="005B3256">
        <w:rPr>
          <w:rFonts w:asciiTheme="majorBidi" w:eastAsiaTheme="minorHAnsi" w:hAnsiTheme="majorBidi" w:cstheme="majorBidi"/>
          <w:color w:val="0066FF"/>
          <w:sz w:val="28"/>
          <w:szCs w:val="28"/>
        </w:rPr>
        <w:t xml:space="preserve">: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2-5 June, 2014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color w:val="131413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>Subramanya</w:t>
      </w:r>
      <w:proofErr w:type="spellEnd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>Sastry</w:t>
      </w:r>
      <w:proofErr w:type="spellEnd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 xml:space="preserve"> K (2013). Seed-borne Plant Virus Diseases. Springer India 2013, 327pp 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Tegli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S.,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Sereni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A.,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Surico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G. 2002. PCR-based assay for the detection of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>Curtobacterium</w:t>
      </w:r>
      <w:proofErr w:type="spellEnd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pv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.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in bean seeds. Applied Microbiology, 35, 331–337</w:t>
      </w:r>
    </w:p>
    <w:p w:rsidR="005B3256" w:rsidRPr="005B3256" w:rsidRDefault="005B3256" w:rsidP="005B3256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lastRenderedPageBreak/>
        <w:t>Vijendra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K. Agarwal. Sinclair, J.B 1987 Principles of Seed Pathology. vol. 1. and 2. CRC Press,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Inc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Boca Raton, Florida.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Walcott Ron R. (2013) Detection of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Pathogens.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HortTechnology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>_ 47 January–March 2003 13(1), 40-47</w:t>
      </w:r>
    </w:p>
    <w:p w:rsidR="005B3256" w:rsidRPr="005B3256" w:rsidRDefault="005B3256" w:rsidP="005B3256">
      <w:pPr>
        <w:autoSpaceDE w:val="0"/>
        <w:autoSpaceDN w:val="0"/>
        <w:adjustRightInd w:val="0"/>
        <w:ind w:left="720"/>
        <w:contextualSpacing/>
        <w:rPr>
          <w:rFonts w:asciiTheme="majorBidi" w:eastAsiaTheme="minorHAnsi" w:hAnsiTheme="majorBidi" w:cstheme="majorBidi"/>
          <w:color w:val="131413"/>
          <w:sz w:val="28"/>
          <w:szCs w:val="28"/>
        </w:rPr>
      </w:pPr>
    </w:p>
    <w:p w:rsidR="005B3256" w:rsidRPr="005B3256" w:rsidRDefault="005B3256" w:rsidP="005B3256">
      <w:pPr>
        <w:autoSpaceDE w:val="0"/>
        <w:autoSpaceDN w:val="0"/>
        <w:adjustRightInd w:val="0"/>
        <w:ind w:left="720"/>
        <w:contextualSpacing/>
        <w:rPr>
          <w:rFonts w:asciiTheme="majorBidi" w:eastAsiaTheme="minorHAnsi" w:hAnsiTheme="majorBidi" w:cstheme="majorBidi"/>
          <w:color w:val="0066FF"/>
          <w:sz w:val="28"/>
          <w:szCs w:val="28"/>
        </w:rPr>
      </w:pPr>
    </w:p>
    <w:p w:rsidR="00392EBF" w:rsidRDefault="00392EBF" w:rsidP="00392EBF"/>
    <w:p w:rsidR="00392EBF" w:rsidRPr="00286D89" w:rsidRDefault="00392EBF" w:rsidP="00392EBF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392EBF" w:rsidRDefault="00392EBF" w:rsidP="00392EBF"/>
    <w:p w:rsidR="00392EBF" w:rsidRPr="00836950" w:rsidRDefault="005B3256" w:rsidP="00392EBF">
      <w:pPr>
        <w:rPr>
          <w:b/>
          <w:bCs/>
          <w:lang w:bidi="ar-JO"/>
        </w:rPr>
      </w:pPr>
      <w:r>
        <w:rPr>
          <w:b/>
          <w:bCs/>
          <w:lang w:bidi="ar-JO"/>
        </w:rPr>
        <w:t>According to the university graduate scales</w:t>
      </w:r>
    </w:p>
    <w:p w:rsidR="00392EBF" w:rsidRDefault="00392EBF" w:rsidP="00392EBF">
      <w:pPr>
        <w:rPr>
          <w:b/>
          <w:bCs/>
          <w:sz w:val="28"/>
          <w:szCs w:val="28"/>
        </w:rPr>
      </w:pPr>
    </w:p>
    <w:p w:rsidR="00392EBF" w:rsidRDefault="00392EBF" w:rsidP="00392EBF">
      <w:pPr>
        <w:rPr>
          <w:b/>
          <w:bCs/>
          <w:sz w:val="28"/>
          <w:szCs w:val="28"/>
        </w:rPr>
      </w:pPr>
    </w:p>
    <w:p w:rsidR="00392EBF" w:rsidRPr="00286D89" w:rsidRDefault="00392EBF" w:rsidP="00392EBF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392EBF" w:rsidRDefault="00392EBF" w:rsidP="00392EBF">
      <w:pPr>
        <w:rPr>
          <w:sz w:val="20"/>
          <w:szCs w:val="20"/>
          <w:lang w:bidi="ar-JO"/>
        </w:rPr>
      </w:pPr>
    </w:p>
    <w:p w:rsidR="00392EBF" w:rsidRPr="00A4734A" w:rsidRDefault="00392EBF" w:rsidP="00392EB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392EBF" w:rsidRDefault="00392EBF" w:rsidP="00392EB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392EBF" w:rsidRPr="00B7126C" w:rsidRDefault="00392EBF" w:rsidP="00392EBF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8" w:history="1">
        <w:r w:rsidRPr="00B7126C">
          <w:rPr>
            <w:rStyle w:val="Hyperlink"/>
            <w:sz w:val="24"/>
            <w:szCs w:val="24"/>
            <w:lang w:bidi="ar-JO"/>
          </w:rPr>
          <w:t>http://www.ju.edu.jo/rules/index.htm</w:t>
        </w:r>
      </w:hyperlink>
    </w:p>
    <w:p w:rsidR="00392EBF" w:rsidRPr="00A4734A" w:rsidRDefault="00392EBF" w:rsidP="00392EBF">
      <w:pPr>
        <w:pStyle w:val="BodyText"/>
        <w:ind w:left="360"/>
        <w:rPr>
          <w:sz w:val="24"/>
          <w:szCs w:val="24"/>
        </w:rPr>
      </w:pPr>
    </w:p>
    <w:p w:rsidR="00392EBF" w:rsidRPr="00A4734A" w:rsidRDefault="00392EBF" w:rsidP="00392EBF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p w:rsidR="00125E96" w:rsidRDefault="00125E96">
      <w:pPr>
        <w:rPr>
          <w:lang w:bidi="ar-JO"/>
        </w:rPr>
      </w:pPr>
    </w:p>
    <w:sectPr w:rsidR="00125E96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2C" w:rsidRDefault="00047C2C">
      <w:r>
        <w:separator/>
      </w:r>
    </w:p>
  </w:endnote>
  <w:endnote w:type="continuationSeparator" w:id="0">
    <w:p w:rsidR="00047C2C" w:rsidRDefault="0004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DA41D8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4FE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514FE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EF59C8" w:rsidRDefault="00047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2C" w:rsidRDefault="00047C2C">
      <w:r>
        <w:separator/>
      </w:r>
    </w:p>
  </w:footnote>
  <w:footnote w:type="continuationSeparator" w:id="0">
    <w:p w:rsidR="00047C2C" w:rsidRDefault="0004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EDD"/>
    <w:multiLevelType w:val="hybridMultilevel"/>
    <w:tmpl w:val="05282552"/>
    <w:lvl w:ilvl="0" w:tplc="0F9AD2E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3C8F"/>
    <w:multiLevelType w:val="hybridMultilevel"/>
    <w:tmpl w:val="7494DBB8"/>
    <w:lvl w:ilvl="0" w:tplc="41746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2251"/>
    <w:multiLevelType w:val="hybridMultilevel"/>
    <w:tmpl w:val="0E204A5A"/>
    <w:lvl w:ilvl="0" w:tplc="79900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F"/>
    <w:rsid w:val="00047C2C"/>
    <w:rsid w:val="00125E96"/>
    <w:rsid w:val="001810CD"/>
    <w:rsid w:val="00250EB1"/>
    <w:rsid w:val="00331D7E"/>
    <w:rsid w:val="00392EBF"/>
    <w:rsid w:val="0053589B"/>
    <w:rsid w:val="005B3256"/>
    <w:rsid w:val="005F5C37"/>
    <w:rsid w:val="00832618"/>
    <w:rsid w:val="00B81965"/>
    <w:rsid w:val="00C71C4D"/>
    <w:rsid w:val="00DA41D8"/>
    <w:rsid w:val="00E668ED"/>
    <w:rsid w:val="00F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EBF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2E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92E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392EB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2EBF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392EBF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392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2E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2EBF"/>
    <w:pPr>
      <w:ind w:left="720"/>
    </w:pPr>
  </w:style>
  <w:style w:type="paragraph" w:customStyle="1" w:styleId="Style">
    <w:name w:val="Style"/>
    <w:rsid w:val="0053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EBF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2E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92E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392EB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2EBF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392EBF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392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2E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2EBF"/>
    <w:pPr>
      <w:ind w:left="720"/>
    </w:pPr>
  </w:style>
  <w:style w:type="paragraph" w:customStyle="1" w:styleId="Style">
    <w:name w:val="Style"/>
    <w:rsid w:val="0053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A56DF-990F-40D3-89E4-FBA77E9D091F}"/>
</file>

<file path=customXml/itemProps2.xml><?xml version="1.0" encoding="utf-8"?>
<ds:datastoreItem xmlns:ds="http://schemas.openxmlformats.org/officeDocument/2006/customXml" ds:itemID="{5B435DCB-0A66-482A-9C32-294F36F0B2EC}"/>
</file>

<file path=customXml/itemProps3.xml><?xml version="1.0" encoding="utf-8"?>
<ds:datastoreItem xmlns:ds="http://schemas.openxmlformats.org/officeDocument/2006/customXml" ds:itemID="{661C9DC9-F135-42C7-A676-8D9404A3C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ISMAIL</cp:lastModifiedBy>
  <cp:revision>7</cp:revision>
  <cp:lastPrinted>2016-02-11T10:47:00Z</cp:lastPrinted>
  <dcterms:created xsi:type="dcterms:W3CDTF">2016-02-11T10:01:00Z</dcterms:created>
  <dcterms:modified xsi:type="dcterms:W3CDTF">2016-02-14T06:57:00Z</dcterms:modified>
</cp:coreProperties>
</file>